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B6" w:rsidRDefault="006D0BB6" w:rsidP="006D0BB6">
      <w:pPr>
        <w:spacing w:line="240" w:lineRule="auto"/>
        <w:jc w:val="center"/>
      </w:pPr>
      <w:r>
        <w:rPr>
          <w:rFonts w:ascii="Times New Roman" w:hAnsi="Times New Roman"/>
          <w:b/>
          <w:bCs/>
          <w:sz w:val="26"/>
          <w:szCs w:val="26"/>
        </w:rPr>
        <w:t>T.C.</w:t>
      </w:r>
      <w:r>
        <w:rPr>
          <w:rFonts w:ascii="Times New Roman" w:hAnsi="Times New Roman"/>
          <w:b/>
          <w:bCs/>
          <w:sz w:val="26"/>
          <w:szCs w:val="26"/>
        </w:rPr>
        <w:br/>
        <w:t>MİLLÎ EĞİTİM BAKANLIĞI</w:t>
      </w:r>
      <w:r>
        <w:rPr>
          <w:rFonts w:ascii="Times New Roman" w:hAnsi="Times New Roman"/>
          <w:b/>
          <w:bCs/>
          <w:sz w:val="26"/>
          <w:szCs w:val="26"/>
        </w:rPr>
        <w:br/>
        <w:t>İnşaat ve Emlak Grup Başkanlığı</w:t>
      </w:r>
    </w:p>
    <w:p w:rsidR="006D0BB6" w:rsidRDefault="006D0BB6" w:rsidP="006D0BB6">
      <w:pPr>
        <w:spacing w:line="240" w:lineRule="auto"/>
        <w:jc w:val="center"/>
      </w:pPr>
      <w:r>
        <w:rPr>
          <w:rFonts w:ascii="Times New Roman" w:hAnsi="Times New Roman"/>
          <w:b/>
          <w:bCs/>
          <w:sz w:val="26"/>
          <w:szCs w:val="26"/>
        </w:rPr>
        <w:t> </w:t>
      </w:r>
    </w:p>
    <w:p w:rsidR="006D0BB6" w:rsidRDefault="006D0BB6" w:rsidP="006D0BB6">
      <w:pPr>
        <w:spacing w:line="240" w:lineRule="auto"/>
        <w:jc w:val="center"/>
      </w:pPr>
      <w:bookmarkStart w:id="0" w:name="bookmark1"/>
      <w:bookmarkStart w:id="1" w:name="_GoBack"/>
      <w:r>
        <w:rPr>
          <w:rFonts w:ascii="Times New Roman" w:hAnsi="Times New Roman"/>
          <w:b/>
          <w:bCs/>
          <w:color w:val="800000"/>
          <w:sz w:val="30"/>
          <w:szCs w:val="30"/>
        </w:rPr>
        <w:t>2012 YILI TEMEL EĞİTİM YAPIM PROGRAMI</w:t>
      </w:r>
      <w:bookmarkEnd w:id="0"/>
    </w:p>
    <w:p w:rsidR="006D0BB6" w:rsidRDefault="006D0BB6" w:rsidP="006D0BB6">
      <w:pPr>
        <w:spacing w:line="240" w:lineRule="auto"/>
        <w:jc w:val="center"/>
      </w:pPr>
      <w:bookmarkStart w:id="2" w:name="bookmark0"/>
      <w:bookmarkEnd w:id="1"/>
      <w:r>
        <w:rPr>
          <w:rFonts w:ascii="Times New Roman" w:hAnsi="Times New Roman"/>
          <w:b/>
          <w:bCs/>
          <w:color w:val="800000"/>
          <w:sz w:val="30"/>
          <w:szCs w:val="30"/>
        </w:rPr>
        <w:t>(GENELGE 2012/05)</w:t>
      </w:r>
      <w:bookmarkEnd w:id="2"/>
    </w:p>
    <w:p w:rsidR="006D0BB6" w:rsidRDefault="006D0BB6" w:rsidP="006D0BB6">
      <w:pPr>
        <w:spacing w:after="0" w:line="240" w:lineRule="auto"/>
        <w:rPr>
          <w:rFonts w:ascii="Times New Roman" w:hAnsi="Times New Roman"/>
          <w:sz w:val="24"/>
          <w:szCs w:val="24"/>
        </w:rPr>
      </w:pPr>
      <w:r>
        <w:rPr>
          <w:rFonts w:ascii="Times New Roman" w:hAnsi="Times New Roman"/>
          <w:b/>
          <w:bCs/>
          <w:sz w:val="26"/>
          <w:szCs w:val="26"/>
        </w:rPr>
        <w:t> </w:t>
      </w:r>
      <w:r>
        <w:rPr>
          <w:rFonts w:ascii="Times New Roman" w:hAnsi="Times New Roman"/>
          <w:sz w:val="24"/>
          <w:szCs w:val="24"/>
        </w:rPr>
        <w:t xml:space="preserve"> </w:t>
      </w:r>
    </w:p>
    <w:p w:rsidR="006D0BB6" w:rsidRDefault="006D0BB6" w:rsidP="006D0BB6">
      <w:pPr>
        <w:spacing w:line="240" w:lineRule="auto"/>
        <w:rPr>
          <w:rFonts w:ascii="Calibri" w:hAnsi="Calibri"/>
        </w:rPr>
      </w:pPr>
      <w:proofErr w:type="gramStart"/>
      <w:r>
        <w:rPr>
          <w:rFonts w:ascii="Times New Roman" w:hAnsi="Times New Roman"/>
          <w:b/>
          <w:bCs/>
          <w:sz w:val="26"/>
          <w:szCs w:val="26"/>
        </w:rPr>
        <w:t>Sayı   : B</w:t>
      </w:r>
      <w:proofErr w:type="gramEnd"/>
      <w:r>
        <w:rPr>
          <w:rFonts w:ascii="Times New Roman" w:hAnsi="Times New Roman"/>
          <w:b/>
          <w:bCs/>
          <w:sz w:val="26"/>
          <w:szCs w:val="26"/>
        </w:rPr>
        <w:t xml:space="preserve">.08.0.İEG.0.08.00.00.010.06/ 338     </w:t>
      </w:r>
      <w:r>
        <w:rPr>
          <w:rFonts w:ascii="Times New Roman" w:hAnsi="Times New Roman"/>
          <w:b/>
          <w:bCs/>
          <w:sz w:val="26"/>
          <w:szCs w:val="26"/>
        </w:rPr>
        <w:br/>
        <w:t>Tarih : 17.01.2012</w:t>
      </w:r>
    </w:p>
    <w:p w:rsidR="006D0BB6" w:rsidRDefault="006D0BB6" w:rsidP="006D0BB6">
      <w:pPr>
        <w:spacing w:line="240" w:lineRule="auto"/>
      </w:pPr>
      <w:r>
        <w:rPr>
          <w:rFonts w:ascii="Times New Roman" w:hAnsi="Times New Roman"/>
          <w:sz w:val="26"/>
          <w:szCs w:val="26"/>
        </w:rPr>
        <w:t> </w:t>
      </w:r>
    </w:p>
    <w:p w:rsidR="006D0BB6" w:rsidRDefault="006D0BB6" w:rsidP="006D0BB6">
      <w:pPr>
        <w:spacing w:line="240" w:lineRule="auto"/>
      </w:pPr>
      <w:proofErr w:type="gramStart"/>
      <w:r>
        <w:rPr>
          <w:rFonts w:ascii="Times New Roman" w:hAnsi="Times New Roman"/>
          <w:sz w:val="26"/>
          <w:szCs w:val="26"/>
        </w:rPr>
        <w:t>IX. Kalkınma Planına göre eğitim sisteminin temel amacı; düşünme, algılama ve sorun çözme yeteneği gelişmiş, Atatürk ilkelerine bağlı, demokratik, özgür düşünen, milli ve manevî değerleri özümsemiş, yeni fikirlere açık, kişisel sorumluluk duygusuna sahip, çağdaş uygarlığa katkıda bulunabilen, bilim ve teknoloji üretimine yatkın, beceri düzeyi yüksek üretken ve yaratıcı bilgi çağı insanı yetiştirmektir.</w:t>
      </w:r>
      <w:proofErr w:type="gramEnd"/>
    </w:p>
    <w:p w:rsidR="006D0BB6" w:rsidRDefault="006D0BB6" w:rsidP="006D0BB6">
      <w:pPr>
        <w:spacing w:line="240" w:lineRule="auto"/>
      </w:pPr>
      <w:proofErr w:type="gramStart"/>
      <w:r>
        <w:rPr>
          <w:rFonts w:ascii="Times New Roman" w:hAnsi="Times New Roman"/>
          <w:sz w:val="26"/>
          <w:szCs w:val="26"/>
        </w:rPr>
        <w:t>Yatırıma ayrılan sınırlı kaynakların, mahallince elde edilebilecek kaynakların ve her yıl giderek artan bütçe dışı imkânların daha da artırılmasına paralel olarak eğitim hizmetlerinin etkili bir şekilde sunulması maksadıyla 2012 Yılı içerisinde amaç ve önceliklere uygun olarak mevcut proje stokunu azaltacak şekilde, devam eden projelerin eğitimin hizmetine verilmesi ve önemine göre yeni projelerin planlanması suretiyle eğitimde istenilen gelişmeler sağlanacaktır.</w:t>
      </w:r>
      <w:proofErr w:type="gramEnd"/>
    </w:p>
    <w:p w:rsidR="006D0BB6" w:rsidRDefault="006D0BB6" w:rsidP="006D0BB6">
      <w:pPr>
        <w:spacing w:line="240" w:lineRule="auto"/>
      </w:pPr>
      <w:r>
        <w:rPr>
          <w:rFonts w:ascii="Times New Roman" w:hAnsi="Times New Roman"/>
          <w:sz w:val="26"/>
          <w:szCs w:val="26"/>
        </w:rPr>
        <w:t>222 sayılı İlköğretim ve Eğitim Kanunu'nun 76. maddesinde, İl Özel İdaresi Bütçelerine bu Kanun hükümleri gereğince sağlanacak gelirler hariç olmak üzere, yıllık gelirlerinin en az %20'si oranında ilköğretim ödeneği ayrılması gerektiğinin hükme bağlandığı bilinmektedir. Bu Kanun hükmü gereğince 76. maddede sayılan gelirler doğrudan ilköğretim ödeneğine ilave edilecek, ayrıca İl Özel İdaresi yıllık gelirinin en az %20'si oranında ödenek ayrılacak, bunun arttırılması için çaba sarf edilecektir.</w:t>
      </w:r>
    </w:p>
    <w:p w:rsidR="006D0BB6" w:rsidRDefault="006D0BB6" w:rsidP="006D0BB6">
      <w:pPr>
        <w:spacing w:line="240" w:lineRule="auto"/>
      </w:pPr>
      <w:r>
        <w:rPr>
          <w:rFonts w:ascii="Times New Roman" w:hAnsi="Times New Roman"/>
          <w:sz w:val="26"/>
          <w:szCs w:val="26"/>
        </w:rPr>
        <w:t xml:space="preserve">Kamu yatırımlarının etkili, verimli ve zamanında gerçekleştirilmesinin temini için 4734 sayılı Kamu İhale Kanunu ve 4735 sayılı Kamu İhale Sözleşmeleri Kanunu'na göre, arsa temin edilmesini takiben </w:t>
      </w:r>
      <w:proofErr w:type="spellStart"/>
      <w:r>
        <w:rPr>
          <w:rFonts w:ascii="Times New Roman" w:hAnsi="Times New Roman"/>
          <w:sz w:val="26"/>
          <w:szCs w:val="26"/>
        </w:rPr>
        <w:t>geoteknik</w:t>
      </w:r>
      <w:proofErr w:type="spellEnd"/>
      <w:r>
        <w:rPr>
          <w:rFonts w:ascii="Times New Roman" w:hAnsi="Times New Roman"/>
          <w:sz w:val="26"/>
          <w:szCs w:val="26"/>
        </w:rPr>
        <w:t xml:space="preserve"> raporların ve uygulama projelerinin hazırlanması suretiyle, etkili ve isabetli planlama yapılması sağlanacaktır. Atıl durumda kalacak ya da bir başka hizmete kullanmak amacıyla hiçbir yatırıma yer verilmeyecektir.</w:t>
      </w:r>
    </w:p>
    <w:p w:rsidR="006D0BB6" w:rsidRDefault="006D0BB6" w:rsidP="006D0BB6">
      <w:pPr>
        <w:spacing w:line="240" w:lineRule="auto"/>
      </w:pPr>
      <w:proofErr w:type="gramStart"/>
      <w:r>
        <w:rPr>
          <w:rFonts w:ascii="Times New Roman" w:hAnsi="Times New Roman"/>
          <w:sz w:val="26"/>
          <w:szCs w:val="26"/>
        </w:rPr>
        <w:t xml:space="preserve">Mevcut eğitim kurumlarının fiziki alt yapı eksikliklerinin ve bakım onarımlarının yanı sıra afetlerin önlenmesi ve afet hasarlarının telafisine yönelik olarak, geçen yıllarda olduğu gibi, öncelikle birinci ve ikinci derecede deprem bölgelerinde yer alan mevcut eğitim kurumlarından başlanmak üzere ağırlıklı olarak binaların güçlendirilmesine devam edilecek, gerekmesi halinde hukuki süreçle birlikte güçlendirme </w:t>
      </w:r>
      <w:r>
        <w:rPr>
          <w:rFonts w:ascii="Times New Roman" w:hAnsi="Times New Roman"/>
          <w:sz w:val="26"/>
          <w:szCs w:val="26"/>
        </w:rPr>
        <w:lastRenderedPageBreak/>
        <w:t xml:space="preserve">uygulamalarına ağırlık verilecektir. </w:t>
      </w:r>
      <w:proofErr w:type="gramEnd"/>
      <w:r>
        <w:rPr>
          <w:rFonts w:ascii="Times New Roman" w:hAnsi="Times New Roman"/>
          <w:sz w:val="26"/>
          <w:szCs w:val="26"/>
        </w:rPr>
        <w:t>Sonuç olarak; öncelikle yatılı hizmet veren eğitim kurumları ve diğer binalar arasında yeni deprem yönetmeliğine göre incelenmeyen ve gerekmesi halinde güçlendirilmeyen eğitim kurumunun kalmaması için gerekli tedbirler alınacaktır.</w:t>
      </w:r>
    </w:p>
    <w:p w:rsidR="006D0BB6" w:rsidRDefault="006D0BB6" w:rsidP="006D0BB6">
      <w:pPr>
        <w:spacing w:line="240" w:lineRule="auto"/>
      </w:pPr>
      <w:r>
        <w:rPr>
          <w:rFonts w:ascii="Times New Roman" w:hAnsi="Times New Roman"/>
          <w:sz w:val="26"/>
          <w:szCs w:val="26"/>
        </w:rPr>
        <w:t>Eğitimin yaygınlaştırılmasında merkezi idarenin yanı sıra mahalli idareler, gönüllü kuruluşlar ve özel sektörün katkısı arttırılacaktır. Bu amaçla bağış ve yardımları teşvik maksadıyla yapılan yasal düzenlemeler ve uygulamaya konulan projeler (Eğitime %100 Destek Projesi) doğrultusunda elde edilen gelirler, yatırım programlarıyla ilişkilendirilmek suretiyle hedeflere varılması sağlanacaktır.</w:t>
      </w:r>
    </w:p>
    <w:p w:rsidR="006D0BB6" w:rsidRDefault="006D0BB6" w:rsidP="006D0BB6">
      <w:pPr>
        <w:spacing w:line="240" w:lineRule="auto"/>
      </w:pPr>
      <w:r>
        <w:rPr>
          <w:rFonts w:ascii="Times New Roman" w:hAnsi="Times New Roman"/>
          <w:sz w:val="26"/>
          <w:szCs w:val="26"/>
        </w:rPr>
        <w:t>2012 Malî Yılı Merkezi Yönetim Bütçe Kanununda öngörülen ödenekler il bazında Devlet yardımı adı altında detay programına bağlandıktan sonra Maliye Bakanlığının serbest bırakma oran ve ilkeleri doğrultusunda İl Özel İdareleri Bütçelerine aktarılmak üzere Millî Eğitim Müdürlükleri adına gönderilecek ve yerel imkânlarla birlikte onaylı il yapım programı dâhilinde kullanılacaktır.</w:t>
      </w:r>
    </w:p>
    <w:p w:rsidR="006D0BB6" w:rsidRDefault="006D0BB6" w:rsidP="006D0BB6">
      <w:pPr>
        <w:spacing w:line="240" w:lineRule="auto"/>
      </w:pPr>
      <w:r>
        <w:rPr>
          <w:rFonts w:ascii="Times New Roman" w:hAnsi="Times New Roman"/>
          <w:sz w:val="26"/>
          <w:szCs w:val="26"/>
        </w:rPr>
        <w:t>2012 Yılı Temel Eğitim Yapım Programı Hazırlama esasları İnşaat ve Emlak Grup Başkanlığının (</w:t>
      </w:r>
      <w:hyperlink r:id="rId6" w:history="1">
        <w:r>
          <w:rPr>
            <w:rStyle w:val="Kpr"/>
            <w:rFonts w:ascii="Times New Roman" w:hAnsi="Times New Roman"/>
            <w:color w:val="0066CC"/>
            <w:sz w:val="26"/>
            <w:szCs w:val="26"/>
          </w:rPr>
          <w:t>http://ytdb.meb.gov.tr</w:t>
        </w:r>
      </w:hyperlink>
      <w:r>
        <w:rPr>
          <w:rFonts w:ascii="Times New Roman" w:hAnsi="Times New Roman"/>
          <w:sz w:val="26"/>
          <w:szCs w:val="26"/>
        </w:rPr>
        <w:t>) Web sayfasında yer alacağından bilgi ve belgeler bu yolla da temin edilebilecektir.</w:t>
      </w:r>
    </w:p>
    <w:p w:rsidR="006D0BB6" w:rsidRDefault="006D0BB6" w:rsidP="006D0BB6">
      <w:pPr>
        <w:spacing w:line="240" w:lineRule="auto"/>
      </w:pPr>
      <w:proofErr w:type="gramStart"/>
      <w:r>
        <w:rPr>
          <w:rFonts w:ascii="Times New Roman" w:hAnsi="Times New Roman"/>
          <w:sz w:val="26"/>
          <w:szCs w:val="26"/>
        </w:rPr>
        <w:t>Valilikler 222 sayılı Kanunun 76. maddesine göre oluşturacakları bütçe ile bizzat İl Milli Eğitim Müdürlüklerince yapılacak programlarda belirlenen ilke ve politikalar "yerindelik, etkinlik ve verimlilik" ile bu Genelge ekindeki program hazırlama esaslarına göre 2012 Yılı temel eğitim yapım programlarını en kısa sürede İl Millî Eğitim Müdürlükleri tarafından usulüne uygun olarak hazırlanıp 4 örnek ile birlikte ve elektronik ortamda 15 Şubat 2012 tarihinden önce Bakanlığımız İnşaat ve Emlak Grup Başkanlığına İl Milli Eğitim Müdürlüklerince teslim edeceklerdir.</w:t>
      </w:r>
      <w:proofErr w:type="gramEnd"/>
    </w:p>
    <w:p w:rsidR="006D0BB6" w:rsidRDefault="006D0BB6" w:rsidP="006D0BB6">
      <w:pPr>
        <w:spacing w:line="240" w:lineRule="auto"/>
      </w:pPr>
      <w:r>
        <w:rPr>
          <w:rFonts w:ascii="Times New Roman" w:hAnsi="Times New Roman"/>
          <w:sz w:val="26"/>
          <w:szCs w:val="26"/>
        </w:rPr>
        <w:t> </w:t>
      </w:r>
    </w:p>
    <w:p w:rsidR="006D0BB6" w:rsidRDefault="006D0BB6" w:rsidP="006D0BB6">
      <w:pPr>
        <w:spacing w:line="240" w:lineRule="auto"/>
      </w:pPr>
      <w:r>
        <w:rPr>
          <w:rFonts w:ascii="Times New Roman" w:hAnsi="Times New Roman"/>
          <w:sz w:val="26"/>
          <w:szCs w:val="26"/>
        </w:rPr>
        <w:t>Gereğinin yapılmasını rica ederim.</w:t>
      </w:r>
    </w:p>
    <w:p w:rsidR="006D0BB6" w:rsidRDefault="006D0BB6" w:rsidP="006D0BB6">
      <w:pPr>
        <w:spacing w:line="240" w:lineRule="auto"/>
      </w:pPr>
      <w:r>
        <w:rPr>
          <w:rFonts w:ascii="Times New Roman" w:hAnsi="Times New Roman"/>
          <w:sz w:val="26"/>
          <w:szCs w:val="26"/>
        </w:rPr>
        <w:t> </w:t>
      </w:r>
    </w:p>
    <w:p w:rsidR="006D0BB6" w:rsidRDefault="006D0BB6" w:rsidP="006D0BB6">
      <w:pPr>
        <w:spacing w:line="240" w:lineRule="auto"/>
        <w:jc w:val="center"/>
      </w:pPr>
      <w:r>
        <w:rPr>
          <w:rFonts w:ascii="Times New Roman" w:hAnsi="Times New Roman"/>
          <w:b/>
          <w:bCs/>
          <w:sz w:val="26"/>
          <w:szCs w:val="26"/>
        </w:rPr>
        <w:t>Ömer DİNÇER</w:t>
      </w:r>
      <w:r>
        <w:rPr>
          <w:rFonts w:ascii="Times New Roman" w:hAnsi="Times New Roman"/>
          <w:b/>
          <w:bCs/>
          <w:sz w:val="26"/>
          <w:szCs w:val="26"/>
        </w:rPr>
        <w:br/>
        <w:t>Millî Eğitim Bakanı</w:t>
      </w:r>
    </w:p>
    <w:p w:rsidR="006D0BB6" w:rsidRDefault="006D0BB6" w:rsidP="006D0BB6">
      <w:pPr>
        <w:spacing w:line="240" w:lineRule="auto"/>
      </w:pPr>
      <w:r>
        <w:rPr>
          <w:rFonts w:ascii="Times New Roman" w:hAnsi="Times New Roman"/>
          <w:b/>
          <w:bCs/>
          <w:sz w:val="26"/>
          <w:szCs w:val="26"/>
        </w:rPr>
        <w:t> </w:t>
      </w:r>
    </w:p>
    <w:p w:rsidR="006D0BB6" w:rsidRDefault="006D0BB6" w:rsidP="006D0BB6">
      <w:pPr>
        <w:spacing w:line="240" w:lineRule="auto"/>
      </w:pPr>
      <w:r>
        <w:rPr>
          <w:rFonts w:ascii="Times New Roman" w:hAnsi="Times New Roman"/>
          <w:b/>
          <w:bCs/>
          <w:sz w:val="26"/>
          <w:szCs w:val="26"/>
        </w:rPr>
        <w:t>EKLER:</w:t>
      </w:r>
    </w:p>
    <w:p w:rsidR="006D0BB6" w:rsidRDefault="006D0BB6" w:rsidP="006D0BB6">
      <w:pPr>
        <w:spacing w:line="240" w:lineRule="auto"/>
      </w:pPr>
      <w:hyperlink r:id="rId7" w:history="1">
        <w:r>
          <w:rPr>
            <w:rStyle w:val="Kpr"/>
            <w:rFonts w:ascii="Times New Roman" w:hAnsi="Times New Roman"/>
            <w:b/>
            <w:bCs/>
            <w:sz w:val="26"/>
            <w:szCs w:val="26"/>
          </w:rPr>
          <w:t>1 - 2012 Yılı Temel Eğitim Yapım Programı Hazırlama Esasları.</w:t>
        </w:r>
      </w:hyperlink>
    </w:p>
    <w:p w:rsidR="006D0BB6" w:rsidRDefault="006D0BB6" w:rsidP="006D0BB6">
      <w:pPr>
        <w:spacing w:line="240" w:lineRule="auto"/>
      </w:pPr>
      <w:r>
        <w:rPr>
          <w:rFonts w:ascii="Times New Roman" w:hAnsi="Times New Roman"/>
          <w:b/>
          <w:bCs/>
          <w:sz w:val="26"/>
          <w:szCs w:val="26"/>
        </w:rPr>
        <w:t> </w:t>
      </w:r>
    </w:p>
    <w:p w:rsidR="006D0BB6" w:rsidRDefault="006D0BB6" w:rsidP="006D0BB6">
      <w:pPr>
        <w:spacing w:line="240" w:lineRule="auto"/>
      </w:pPr>
      <w:r>
        <w:rPr>
          <w:rFonts w:ascii="Times New Roman" w:hAnsi="Times New Roman"/>
          <w:b/>
          <w:bCs/>
          <w:sz w:val="26"/>
          <w:szCs w:val="26"/>
        </w:rPr>
        <w:t> </w:t>
      </w:r>
    </w:p>
    <w:p w:rsidR="006D0BB6" w:rsidRDefault="006D0BB6" w:rsidP="006D0BB6">
      <w:pPr>
        <w:spacing w:line="240" w:lineRule="auto"/>
      </w:pPr>
      <w:r>
        <w:rPr>
          <w:rFonts w:ascii="Times New Roman" w:hAnsi="Times New Roman"/>
          <w:b/>
          <w:bCs/>
          <w:sz w:val="26"/>
          <w:szCs w:val="26"/>
        </w:rPr>
        <w:t xml:space="preserve">DAĞITIM : </w:t>
      </w:r>
      <w:r>
        <w:rPr>
          <w:rFonts w:ascii="Times New Roman" w:hAnsi="Times New Roman"/>
          <w:b/>
          <w:bCs/>
          <w:sz w:val="26"/>
          <w:szCs w:val="26"/>
        </w:rPr>
        <w:br/>
      </w:r>
      <w:proofErr w:type="gramStart"/>
      <w:r>
        <w:rPr>
          <w:rFonts w:ascii="Times New Roman" w:hAnsi="Times New Roman"/>
          <w:b/>
          <w:bCs/>
          <w:sz w:val="26"/>
          <w:szCs w:val="26"/>
        </w:rPr>
        <w:t>Gereği :                    Bilgi</w:t>
      </w:r>
      <w:proofErr w:type="gramEnd"/>
      <w:r>
        <w:rPr>
          <w:rFonts w:ascii="Times New Roman" w:hAnsi="Times New Roman"/>
          <w:b/>
          <w:bCs/>
          <w:sz w:val="26"/>
          <w:szCs w:val="26"/>
        </w:rPr>
        <w:br/>
      </w:r>
      <w:r>
        <w:rPr>
          <w:rFonts w:ascii="Times New Roman" w:hAnsi="Times New Roman"/>
          <w:sz w:val="26"/>
          <w:szCs w:val="26"/>
        </w:rPr>
        <w:lastRenderedPageBreak/>
        <w:t>-B Plânı                     Kalkınma Bakanlığına</w:t>
      </w:r>
      <w:r>
        <w:rPr>
          <w:rFonts w:ascii="Times New Roman" w:hAnsi="Times New Roman"/>
          <w:sz w:val="26"/>
          <w:szCs w:val="26"/>
        </w:rPr>
        <w:br/>
        <w:t>                                   A Planı</w:t>
      </w:r>
    </w:p>
    <w:p w:rsidR="006D0BB6" w:rsidRDefault="006D0BB6" w:rsidP="006D0BB6">
      <w:pPr>
        <w:spacing w:line="240" w:lineRule="auto"/>
      </w:pPr>
      <w:r>
        <w:t> </w:t>
      </w:r>
    </w:p>
    <w:p w:rsidR="0010076A" w:rsidRPr="006D0BB6" w:rsidRDefault="006D0BB6" w:rsidP="006D0BB6"/>
    <w:sectPr w:rsidR="0010076A" w:rsidRPr="006D0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202C70"/>
    <w:rsid w:val="00345092"/>
    <w:rsid w:val="003E2025"/>
    <w:rsid w:val="003F70D4"/>
    <w:rsid w:val="00425E57"/>
    <w:rsid w:val="00582856"/>
    <w:rsid w:val="005F757A"/>
    <w:rsid w:val="006D0BB6"/>
    <w:rsid w:val="00702EDC"/>
    <w:rsid w:val="00723709"/>
    <w:rsid w:val="007E714C"/>
    <w:rsid w:val="007F5C38"/>
    <w:rsid w:val="00825BA1"/>
    <w:rsid w:val="00841D3C"/>
    <w:rsid w:val="00847CD2"/>
    <w:rsid w:val="0097443F"/>
    <w:rsid w:val="00976556"/>
    <w:rsid w:val="0098165F"/>
    <w:rsid w:val="009C2A96"/>
    <w:rsid w:val="00A7496D"/>
    <w:rsid w:val="00B16962"/>
    <w:rsid w:val="00BE0904"/>
    <w:rsid w:val="00C2518E"/>
    <w:rsid w:val="00EB4216"/>
    <w:rsid w:val="00EB755F"/>
    <w:rsid w:val="00EC0B17"/>
    <w:rsid w:val="00F24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1103">
      <w:bodyDiv w:val="1"/>
      <w:marLeft w:val="0"/>
      <w:marRight w:val="0"/>
      <w:marTop w:val="0"/>
      <w:marBottom w:val="0"/>
      <w:divBdr>
        <w:top w:val="none" w:sz="0" w:space="0" w:color="auto"/>
        <w:left w:val="none" w:sz="0" w:space="0" w:color="auto"/>
        <w:bottom w:val="none" w:sz="0" w:space="0" w:color="auto"/>
        <w:right w:val="none" w:sz="0" w:space="0" w:color="auto"/>
      </w:divBdr>
    </w:div>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170288533">
      <w:bodyDiv w:val="1"/>
      <w:marLeft w:val="0"/>
      <w:marRight w:val="0"/>
      <w:marTop w:val="0"/>
      <w:marBottom w:val="0"/>
      <w:divBdr>
        <w:top w:val="none" w:sz="0" w:space="0" w:color="auto"/>
        <w:left w:val="none" w:sz="0" w:space="0" w:color="auto"/>
        <w:bottom w:val="none" w:sz="0" w:space="0" w:color="auto"/>
        <w:right w:val="none" w:sz="0" w:space="0" w:color="auto"/>
      </w:divBdr>
    </w:div>
    <w:div w:id="1178810687">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360469800">
      <w:bodyDiv w:val="1"/>
      <w:marLeft w:val="0"/>
      <w:marRight w:val="0"/>
      <w:marTop w:val="0"/>
      <w:marBottom w:val="0"/>
      <w:divBdr>
        <w:top w:val="none" w:sz="0" w:space="0" w:color="auto"/>
        <w:left w:val="none" w:sz="0" w:space="0" w:color="auto"/>
        <w:bottom w:val="none" w:sz="0" w:space="0" w:color="auto"/>
        <w:right w:val="none" w:sz="0" w:space="0" w:color="auto"/>
      </w:divBdr>
    </w:div>
    <w:div w:id="1409183617">
      <w:bodyDiv w:val="1"/>
      <w:marLeft w:val="0"/>
      <w:marRight w:val="0"/>
      <w:marTop w:val="0"/>
      <w:marBottom w:val="0"/>
      <w:divBdr>
        <w:top w:val="none" w:sz="0" w:space="0" w:color="auto"/>
        <w:left w:val="none" w:sz="0" w:space="0" w:color="auto"/>
        <w:bottom w:val="none" w:sz="0" w:space="0" w:color="auto"/>
        <w:right w:val="none" w:sz="0" w:space="0" w:color="auto"/>
      </w:divBdr>
    </w:div>
    <w:div w:id="1431580634">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500074168">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72466880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tdb.meb.gov.tr/dokuman/2012%20YILI%20TEMEL%20E&#286;&#304;T&#304;M%20YAPIM%20PROGRAMI%20GENELGES&#304;%20(201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tdb.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2013-10-11T21:40:00Z</dcterms:created>
  <dcterms:modified xsi:type="dcterms:W3CDTF">2013-10-11T21:40:00Z</dcterms:modified>
</cp:coreProperties>
</file>